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15E4" w14:textId="77777777" w:rsidR="00C97D7E" w:rsidRPr="00A1572B" w:rsidRDefault="00E767A2" w:rsidP="003C25F4">
      <w:pPr>
        <w:jc w:val="center"/>
        <w:rPr>
          <w:rFonts w:ascii="BIZ UDPゴシック" w:eastAsia="BIZ UDPゴシック" w:hAnsi="BIZ UDPゴシック"/>
          <w:b/>
          <w:bCs/>
          <w:sz w:val="36"/>
          <w:szCs w:val="36"/>
        </w:rPr>
      </w:pPr>
      <w:r w:rsidRPr="00A1572B">
        <w:rPr>
          <w:rFonts w:ascii="BIZ UDPゴシック" w:eastAsia="BIZ UDPゴシック" w:hAnsi="BIZ UDPゴシック" w:hint="eastAsia"/>
          <w:b/>
          <w:bCs/>
          <w:color w:val="2F5496" w:themeColor="accent1" w:themeShade="BF"/>
          <w:sz w:val="36"/>
          <w:szCs w:val="36"/>
        </w:rPr>
        <w:t>学校における業務水準の</w:t>
      </w:r>
      <w:r w:rsidR="00F407F4" w:rsidRPr="00A1572B">
        <w:rPr>
          <w:rFonts w:ascii="BIZ UDPゴシック" w:eastAsia="BIZ UDPゴシック" w:hAnsi="BIZ UDPゴシック" w:hint="eastAsia"/>
          <w:b/>
          <w:bCs/>
          <w:color w:val="2F5496" w:themeColor="accent1" w:themeShade="BF"/>
          <w:sz w:val="36"/>
          <w:szCs w:val="36"/>
        </w:rPr>
        <w:t>継承</w:t>
      </w:r>
      <w:r w:rsidR="0020438D" w:rsidRPr="00A1572B">
        <w:rPr>
          <w:rFonts w:ascii="BIZ UDPゴシック" w:eastAsia="BIZ UDPゴシック" w:hAnsi="BIZ UDPゴシック" w:hint="eastAsia"/>
          <w:b/>
          <w:bCs/>
          <w:color w:val="2F5496" w:themeColor="accent1" w:themeShade="BF"/>
          <w:sz w:val="36"/>
          <w:szCs w:val="36"/>
        </w:rPr>
        <w:t>の</w:t>
      </w:r>
      <w:r w:rsidR="00F407F4" w:rsidRPr="00A1572B">
        <w:rPr>
          <w:rFonts w:ascii="BIZ UDPゴシック" w:eastAsia="BIZ UDPゴシック" w:hAnsi="BIZ UDPゴシック" w:hint="eastAsia"/>
          <w:b/>
          <w:bCs/>
          <w:color w:val="2F5496" w:themeColor="accent1" w:themeShade="BF"/>
          <w:sz w:val="36"/>
          <w:szCs w:val="36"/>
        </w:rPr>
        <w:t>困難性</w:t>
      </w:r>
      <w:r w:rsidR="0020438D" w:rsidRPr="00A1572B">
        <w:rPr>
          <w:rFonts w:ascii="BIZ UDPゴシック" w:eastAsia="BIZ UDPゴシック" w:hAnsi="BIZ UDPゴシック" w:hint="eastAsia"/>
          <w:b/>
          <w:bCs/>
          <w:color w:val="2F5496" w:themeColor="accent1" w:themeShade="BF"/>
          <w:sz w:val="36"/>
          <w:szCs w:val="36"/>
        </w:rPr>
        <w:t>について</w:t>
      </w:r>
    </w:p>
    <w:p w14:paraId="15571CCB" w14:textId="77777777" w:rsidR="00F109E8" w:rsidRDefault="00F109E8">
      <w:pPr>
        <w:rPr>
          <w:rFonts w:ascii="BIZ UDPゴシック" w:eastAsia="BIZ UDPゴシック" w:hAnsi="BIZ UDPゴシック"/>
          <w:color w:val="C00000"/>
          <w:sz w:val="22"/>
        </w:rPr>
      </w:pPr>
    </w:p>
    <w:p w14:paraId="1381D82C" w14:textId="4B0B8E18" w:rsidR="00F407F4" w:rsidRPr="00F109E8" w:rsidRDefault="00C97D7E">
      <w:pPr>
        <w:rPr>
          <w:rFonts w:ascii="BIZ UDPゴシック" w:eastAsia="BIZ UDPゴシック" w:hAnsi="BIZ UDPゴシック"/>
          <w:color w:val="C00000"/>
          <w:sz w:val="22"/>
        </w:rPr>
      </w:pPr>
      <w:r w:rsidRPr="00F109E8">
        <w:rPr>
          <w:rFonts w:ascii="BIZ UDPゴシック" w:eastAsia="BIZ UDPゴシック" w:hAnsi="BIZ UDPゴシック" w:hint="eastAsia"/>
          <w:color w:val="C00000"/>
          <w:sz w:val="22"/>
        </w:rPr>
        <w:t>【業務水準のサイクル】</w:t>
      </w:r>
    </w:p>
    <w:p w14:paraId="774ED73D" w14:textId="77777777" w:rsidR="00F407F4" w:rsidRPr="00F109E8" w:rsidRDefault="00F407F4" w:rsidP="00C97D7E">
      <w:pPr>
        <w:ind w:firstLineChars="100" w:firstLine="250"/>
        <w:rPr>
          <w:rFonts w:ascii="BIZ UDPゴシック" w:eastAsia="BIZ UDPゴシック" w:hAnsi="BIZ UDPゴシック"/>
          <w:sz w:val="22"/>
        </w:rPr>
      </w:pPr>
      <w:r w:rsidRPr="00F109E8">
        <w:rPr>
          <w:rFonts w:ascii="BIZ UDPゴシック" w:eastAsia="BIZ UDPゴシック" w:hAnsi="BIZ UDPゴシック" w:hint="eastAsia"/>
          <w:sz w:val="22"/>
        </w:rPr>
        <w:t>学校の教育活動や組織マネジメントの営みが，蓄積的な丁寧な積み重ねや強いリーダーシップの発揮によって一定の高い水準になっても，</w:t>
      </w:r>
      <w:r w:rsidR="001201FF" w:rsidRPr="00F109E8">
        <w:rPr>
          <w:rFonts w:ascii="BIZ UDPゴシック" w:eastAsia="BIZ UDPゴシック" w:hAnsi="BIZ UDPゴシック" w:hint="eastAsia"/>
          <w:sz w:val="22"/>
        </w:rPr>
        <w:t>その水準をさらに高めたり維持継承するのは，かなり難しいことだと思っています。</w:t>
      </w:r>
    </w:p>
    <w:p w14:paraId="26A43566" w14:textId="77777777" w:rsidR="001201FF" w:rsidRPr="00F109E8" w:rsidRDefault="001201FF" w:rsidP="00367ED9">
      <w:pPr>
        <w:ind w:firstLineChars="100" w:firstLine="250"/>
        <w:rPr>
          <w:rFonts w:ascii="BIZ UDPゴシック" w:eastAsia="BIZ UDPゴシック" w:hAnsi="BIZ UDPゴシック"/>
          <w:sz w:val="22"/>
        </w:rPr>
      </w:pPr>
      <w:r w:rsidRPr="00F109E8">
        <w:rPr>
          <w:rFonts w:ascii="BIZ UDPゴシック" w:eastAsia="BIZ UDPゴシック" w:hAnsi="BIZ UDPゴシック" w:hint="eastAsia"/>
          <w:sz w:val="22"/>
        </w:rPr>
        <w:t>教育活動や組織マネジメント自体が〔人の営み〕によって</w:t>
      </w:r>
      <w:r w:rsidR="006F6DD7" w:rsidRPr="00F109E8">
        <w:rPr>
          <w:rFonts w:ascii="BIZ UDPゴシック" w:eastAsia="BIZ UDPゴシック" w:hAnsi="BIZ UDPゴシック" w:hint="eastAsia"/>
          <w:sz w:val="22"/>
        </w:rPr>
        <w:t>成り立ってい</w:t>
      </w:r>
      <w:r w:rsidR="00E21EA1" w:rsidRPr="00F109E8">
        <w:rPr>
          <w:rFonts w:ascii="BIZ UDPゴシック" w:eastAsia="BIZ UDPゴシック" w:hAnsi="BIZ UDPゴシック" w:hint="eastAsia"/>
          <w:sz w:val="22"/>
        </w:rPr>
        <w:t>ること</w:t>
      </w:r>
      <w:r w:rsidR="006F6DD7" w:rsidRPr="00F109E8">
        <w:rPr>
          <w:rFonts w:ascii="BIZ UDPゴシック" w:eastAsia="BIZ UDPゴシック" w:hAnsi="BIZ UDPゴシック" w:hint="eastAsia"/>
          <w:sz w:val="22"/>
        </w:rPr>
        <w:t>，</w:t>
      </w:r>
      <w:r w:rsidR="00E21EA1" w:rsidRPr="00F109E8">
        <w:rPr>
          <w:rFonts w:ascii="BIZ UDPゴシック" w:eastAsia="BIZ UDPゴシック" w:hAnsi="BIZ UDPゴシック" w:hint="eastAsia"/>
          <w:sz w:val="22"/>
        </w:rPr>
        <w:t>一</w:t>
      </w:r>
      <w:r w:rsidR="00367ED9" w:rsidRPr="00F109E8">
        <w:rPr>
          <w:rFonts w:ascii="BIZ UDPゴシック" w:eastAsia="BIZ UDPゴシック" w:hAnsi="BIZ UDPゴシック" w:hint="eastAsia"/>
          <w:sz w:val="22"/>
        </w:rPr>
        <w:t>年単位で</w:t>
      </w:r>
      <w:r w:rsidR="00E21EA1" w:rsidRPr="00F109E8">
        <w:rPr>
          <w:rFonts w:ascii="BIZ UDPゴシック" w:eastAsia="BIZ UDPゴシック" w:hAnsi="BIZ UDPゴシック" w:hint="eastAsia"/>
          <w:sz w:val="22"/>
        </w:rPr>
        <w:t>サイクル的な</w:t>
      </w:r>
      <w:r w:rsidR="00367ED9" w:rsidRPr="00F109E8">
        <w:rPr>
          <w:rFonts w:ascii="BIZ UDPゴシック" w:eastAsia="BIZ UDPゴシック" w:hAnsi="BIZ UDPゴシック" w:hint="eastAsia"/>
          <w:sz w:val="22"/>
        </w:rPr>
        <w:t>活動が行われて</w:t>
      </w:r>
      <w:r w:rsidR="00E21EA1" w:rsidRPr="00F109E8">
        <w:rPr>
          <w:rFonts w:ascii="BIZ UDPゴシック" w:eastAsia="BIZ UDPゴシック" w:hAnsi="BIZ UDPゴシック" w:hint="eastAsia"/>
          <w:sz w:val="22"/>
        </w:rPr>
        <w:t>いることが前提となっていることなどから</w:t>
      </w:r>
      <w:r w:rsidR="00367ED9" w:rsidRPr="00F109E8">
        <w:rPr>
          <w:rFonts w:ascii="BIZ UDPゴシック" w:eastAsia="BIZ UDPゴシック" w:hAnsi="BIZ UDPゴシック" w:hint="eastAsia"/>
          <w:sz w:val="22"/>
        </w:rPr>
        <w:t>，</w:t>
      </w:r>
      <w:r w:rsidR="006F6DD7" w:rsidRPr="00F109E8">
        <w:rPr>
          <w:rFonts w:ascii="BIZ UDPゴシック" w:eastAsia="BIZ UDPゴシック" w:hAnsi="BIZ UDPゴシック" w:hint="eastAsia"/>
          <w:sz w:val="22"/>
        </w:rPr>
        <w:t>意義や目的が共有されたチーム力として「プラスα」が働く〔創設期・発展期〕から</w:t>
      </w:r>
      <w:r w:rsidR="00367ED9" w:rsidRPr="00F109E8">
        <w:rPr>
          <w:rFonts w:ascii="BIZ UDPゴシック" w:eastAsia="BIZ UDPゴシック" w:hAnsi="BIZ UDPゴシック" w:hint="eastAsia"/>
          <w:sz w:val="22"/>
        </w:rPr>
        <w:t>，やがて</w:t>
      </w:r>
      <w:r w:rsidR="006F6DD7" w:rsidRPr="00F109E8">
        <w:rPr>
          <w:rFonts w:ascii="BIZ UDPゴシック" w:eastAsia="BIZ UDPゴシック" w:hAnsi="BIZ UDPゴシック" w:hint="eastAsia"/>
          <w:sz w:val="22"/>
        </w:rPr>
        <w:t>ピーク時を経ると，水準維持が目的化するようになり，</w:t>
      </w:r>
      <w:r w:rsidR="00CE1C23" w:rsidRPr="00F109E8">
        <w:rPr>
          <w:rFonts w:ascii="BIZ UDPゴシック" w:eastAsia="BIZ UDPゴシック" w:hAnsi="BIZ UDPゴシック" w:hint="eastAsia"/>
          <w:sz w:val="22"/>
        </w:rPr>
        <w:t>創設期・発展期の</w:t>
      </w:r>
      <w:r w:rsidR="006F6DD7" w:rsidRPr="00F109E8">
        <w:rPr>
          <w:rFonts w:ascii="BIZ UDPゴシック" w:eastAsia="BIZ UDPゴシック" w:hAnsi="BIZ UDPゴシック" w:hint="eastAsia"/>
          <w:sz w:val="22"/>
        </w:rPr>
        <w:t>「プラスα」も</w:t>
      </w:r>
      <w:r w:rsidR="00425A7D" w:rsidRPr="00F109E8">
        <w:rPr>
          <w:rFonts w:ascii="BIZ UDPゴシック" w:eastAsia="BIZ UDPゴシック" w:hAnsi="BIZ UDPゴシック" w:hint="eastAsia"/>
          <w:sz w:val="22"/>
        </w:rPr>
        <w:t>無くなっていて</w:t>
      </w:r>
      <w:r w:rsidR="00E21EA1" w:rsidRPr="00F109E8">
        <w:rPr>
          <w:rFonts w:ascii="BIZ UDPゴシック" w:eastAsia="BIZ UDPゴシック" w:hAnsi="BIZ UDPゴシック" w:hint="eastAsia"/>
          <w:sz w:val="22"/>
        </w:rPr>
        <w:t>，組織としての</w:t>
      </w:r>
      <w:r w:rsidR="00425A7D" w:rsidRPr="00F109E8">
        <w:rPr>
          <w:rFonts w:ascii="BIZ UDPゴシック" w:eastAsia="BIZ UDPゴシック" w:hAnsi="BIZ UDPゴシック" w:hint="eastAsia"/>
          <w:sz w:val="22"/>
        </w:rPr>
        <w:t>変化対応力が弱くなってしま</w:t>
      </w:r>
      <w:r w:rsidR="00105889" w:rsidRPr="00F109E8">
        <w:rPr>
          <w:rFonts w:ascii="BIZ UDPゴシック" w:eastAsia="BIZ UDPゴシック" w:hAnsi="BIZ UDPゴシック" w:hint="eastAsia"/>
          <w:sz w:val="22"/>
        </w:rPr>
        <w:t>うのが実際の姿だと思っています。</w:t>
      </w:r>
    </w:p>
    <w:p w14:paraId="04A155D0" w14:textId="7BE9B523" w:rsidR="00581AFC" w:rsidRPr="00F109E8" w:rsidRDefault="00581AFC">
      <w:pPr>
        <w:rPr>
          <w:rFonts w:ascii="BIZ UDPゴシック" w:eastAsia="BIZ UDPゴシック" w:hAnsi="BIZ UDPゴシック"/>
          <w:sz w:val="22"/>
        </w:rPr>
      </w:pPr>
    </w:p>
    <w:p w14:paraId="3C65B22D" w14:textId="0139DB66" w:rsidR="00121739" w:rsidRPr="00F109E8" w:rsidRDefault="00F109E8">
      <w:pPr>
        <w:rPr>
          <w:rFonts w:ascii="BIZ UDPゴシック" w:eastAsia="BIZ UDPゴシック" w:hAnsi="BIZ UDPゴシック"/>
          <w:color w:val="C00000"/>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7D05E542" wp14:editId="23636314">
                <wp:simplePos x="0" y="0"/>
                <wp:positionH relativeFrom="column">
                  <wp:posOffset>2343785</wp:posOffset>
                </wp:positionH>
                <wp:positionV relativeFrom="paragraph">
                  <wp:posOffset>175260</wp:posOffset>
                </wp:positionV>
                <wp:extent cx="4314825" cy="2790825"/>
                <wp:effectExtent l="0" t="0" r="0" b="0"/>
                <wp:wrapNone/>
                <wp:docPr id="1046504076" name="テキスト ボックス 1"/>
                <wp:cNvGraphicFramePr/>
                <a:graphic xmlns:a="http://schemas.openxmlformats.org/drawingml/2006/main">
                  <a:graphicData uri="http://schemas.microsoft.com/office/word/2010/wordprocessingShape">
                    <wps:wsp>
                      <wps:cNvSpPr txBox="1"/>
                      <wps:spPr>
                        <a:xfrm>
                          <a:off x="0" y="0"/>
                          <a:ext cx="4314825" cy="2790825"/>
                        </a:xfrm>
                        <a:prstGeom prst="rect">
                          <a:avLst/>
                        </a:prstGeom>
                        <a:noFill/>
                        <a:ln w="6350">
                          <a:noFill/>
                        </a:ln>
                      </wps:spPr>
                      <wps:txbx>
                        <w:txbxContent>
                          <w:p w14:paraId="36C33953" w14:textId="125A54ED" w:rsidR="00F109E8" w:rsidRDefault="00F109E8">
                            <w:r>
                              <w:rPr>
                                <w:noProof/>
                              </w:rPr>
                              <w:drawing>
                                <wp:inline distT="0" distB="0" distL="0" distR="0" wp14:anchorId="2E78C338" wp14:editId="6134F245">
                                  <wp:extent cx="4086225" cy="2457450"/>
                                  <wp:effectExtent l="0" t="0" r="9525" b="0"/>
                                  <wp:docPr id="618422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236" name="図 61842236"/>
                                          <pic:cNvPicPr/>
                                        </pic:nvPicPr>
                                        <pic:blipFill>
                                          <a:blip r:embed="rId4">
                                            <a:extLst>
                                              <a:ext uri="{28A0092B-C50C-407E-A947-70E740481C1C}">
                                                <a14:useLocalDpi xmlns:a14="http://schemas.microsoft.com/office/drawing/2010/main" val="0"/>
                                              </a:ext>
                                            </a:extLst>
                                          </a:blip>
                                          <a:stretch>
                                            <a:fillRect/>
                                          </a:stretch>
                                        </pic:blipFill>
                                        <pic:spPr>
                                          <a:xfrm>
                                            <a:off x="0" y="0"/>
                                            <a:ext cx="4086225" cy="2457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5E542" id="_x0000_t202" coordsize="21600,21600" o:spt="202" path="m,l,21600r21600,l21600,xe">
                <v:stroke joinstyle="miter"/>
                <v:path gradientshapeok="t" o:connecttype="rect"/>
              </v:shapetype>
              <v:shape id="テキスト ボックス 1" o:spid="_x0000_s1026" type="#_x0000_t202" style="position:absolute;left:0;text-align:left;margin-left:184.55pt;margin-top:13.8pt;width:339.7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" filled="f" stroked="f" strokeweight=".5pt">
                <v:textbox>
                  <w:txbxContent>
                    <w:p w14:paraId="36C33953" w14:textId="125A54ED" w:rsidR="00F109E8" w:rsidRDefault="00F109E8">
                      <w:r>
                        <w:rPr>
                          <w:noProof/>
                        </w:rPr>
                        <w:drawing>
                          <wp:inline distT="0" distB="0" distL="0" distR="0" wp14:anchorId="2E78C338" wp14:editId="6134F245">
                            <wp:extent cx="4086225" cy="2457450"/>
                            <wp:effectExtent l="0" t="0" r="9525" b="0"/>
                            <wp:docPr id="618422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236" name="図 61842236"/>
                                    <pic:cNvPicPr/>
                                  </pic:nvPicPr>
                                  <pic:blipFill>
                                    <a:blip r:embed="rId4">
                                      <a:extLst>
                                        <a:ext uri="{28A0092B-C50C-407E-A947-70E740481C1C}">
                                          <a14:useLocalDpi xmlns:a14="http://schemas.microsoft.com/office/drawing/2010/main" val="0"/>
                                        </a:ext>
                                      </a:extLst>
                                    </a:blip>
                                    <a:stretch>
                                      <a:fillRect/>
                                    </a:stretch>
                                  </pic:blipFill>
                                  <pic:spPr>
                                    <a:xfrm>
                                      <a:off x="0" y="0"/>
                                      <a:ext cx="4086225" cy="2457450"/>
                                    </a:xfrm>
                                    <a:prstGeom prst="rect">
                                      <a:avLst/>
                                    </a:prstGeom>
                                  </pic:spPr>
                                </pic:pic>
                              </a:graphicData>
                            </a:graphic>
                          </wp:inline>
                        </w:drawing>
                      </w:r>
                    </w:p>
                  </w:txbxContent>
                </v:textbox>
              </v:shape>
            </w:pict>
          </mc:Fallback>
        </mc:AlternateContent>
      </w:r>
      <w:r w:rsidR="00581AFC" w:rsidRPr="00F109E8">
        <w:rPr>
          <w:rFonts w:ascii="BIZ UDPゴシック" w:eastAsia="BIZ UDPゴシック" w:hAnsi="BIZ UDPゴシック" w:hint="eastAsia"/>
          <w:color w:val="C00000"/>
          <w:sz w:val="22"/>
        </w:rPr>
        <w:t>【業務の構成要素と継承性】</w:t>
      </w:r>
    </w:p>
    <w:p w14:paraId="2471493B" w14:textId="5CD8B8E4" w:rsidR="00121739" w:rsidRPr="00F109E8" w:rsidRDefault="00581AFC">
      <w:pPr>
        <w:rPr>
          <w:rFonts w:ascii="BIZ UDPゴシック" w:eastAsia="BIZ UDPゴシック" w:hAnsi="BIZ UDPゴシック"/>
          <w:sz w:val="22"/>
        </w:rPr>
      </w:pPr>
      <w:r w:rsidRPr="00F109E8">
        <w:rPr>
          <w:rFonts w:ascii="BIZ UDPゴシック" w:eastAsia="BIZ UDPゴシック" w:hAnsi="BIZ UDPゴシック" w:hint="eastAsia"/>
          <w:sz w:val="22"/>
        </w:rPr>
        <w:t xml:space="preserve">　学校において教員が関わる業務</w:t>
      </w:r>
    </w:p>
    <w:p w14:paraId="291330F4" w14:textId="77777777" w:rsidR="00121739" w:rsidRPr="00F109E8" w:rsidRDefault="00581AFC">
      <w:pPr>
        <w:rPr>
          <w:rFonts w:ascii="BIZ UDPゴシック" w:eastAsia="BIZ UDPゴシック" w:hAnsi="BIZ UDPゴシック"/>
          <w:sz w:val="22"/>
        </w:rPr>
      </w:pPr>
      <w:r w:rsidRPr="00F109E8">
        <w:rPr>
          <w:rFonts w:ascii="BIZ UDPゴシック" w:eastAsia="BIZ UDPゴシック" w:hAnsi="BIZ UDPゴシック" w:hint="eastAsia"/>
          <w:sz w:val="22"/>
        </w:rPr>
        <w:t>や教育活動についてその構成要素</w:t>
      </w:r>
    </w:p>
    <w:p w14:paraId="6049D648" w14:textId="3FCA6B4A" w:rsidR="00121739" w:rsidRPr="00F109E8" w:rsidRDefault="00581AFC">
      <w:pPr>
        <w:rPr>
          <w:rFonts w:ascii="BIZ UDPゴシック" w:eastAsia="BIZ UDPゴシック" w:hAnsi="BIZ UDPゴシック"/>
          <w:sz w:val="22"/>
        </w:rPr>
      </w:pPr>
      <w:r w:rsidRPr="00F109E8">
        <w:rPr>
          <w:rFonts w:ascii="BIZ UDPゴシック" w:eastAsia="BIZ UDPゴシック" w:hAnsi="BIZ UDPゴシック" w:hint="eastAsia"/>
          <w:sz w:val="22"/>
        </w:rPr>
        <w:t>と継承性について</w:t>
      </w:r>
      <w:r w:rsidR="00367ED9" w:rsidRPr="00F109E8">
        <w:rPr>
          <w:rFonts w:ascii="BIZ UDPゴシック" w:eastAsia="BIZ UDPゴシック" w:hAnsi="BIZ UDPゴシック" w:hint="eastAsia"/>
          <w:sz w:val="22"/>
        </w:rPr>
        <w:t>みると右図のよう</w:t>
      </w:r>
    </w:p>
    <w:p w14:paraId="0BAE799A" w14:textId="77777777" w:rsidR="00E21EA1" w:rsidRPr="00F109E8" w:rsidRDefault="00367ED9">
      <w:pPr>
        <w:rPr>
          <w:rFonts w:ascii="BIZ UDPゴシック" w:eastAsia="BIZ UDPゴシック" w:hAnsi="BIZ UDPゴシック"/>
          <w:sz w:val="22"/>
        </w:rPr>
      </w:pPr>
      <w:r w:rsidRPr="00F109E8">
        <w:rPr>
          <w:rFonts w:ascii="BIZ UDPゴシック" w:eastAsia="BIZ UDPゴシック" w:hAnsi="BIZ UDPゴシック" w:hint="eastAsia"/>
          <w:sz w:val="22"/>
        </w:rPr>
        <w:t>に継承可能な面</w:t>
      </w:r>
      <w:r w:rsidR="00E21EA1" w:rsidRPr="00F109E8">
        <w:rPr>
          <w:rFonts w:ascii="BIZ UDPゴシック" w:eastAsia="BIZ UDPゴシック" w:hAnsi="BIZ UDPゴシック" w:hint="eastAsia"/>
          <w:sz w:val="22"/>
        </w:rPr>
        <w:t>がある一方</w:t>
      </w:r>
      <w:r w:rsidRPr="00F109E8">
        <w:rPr>
          <w:rFonts w:ascii="BIZ UDPゴシック" w:eastAsia="BIZ UDPゴシック" w:hAnsi="BIZ UDPゴシック" w:hint="eastAsia"/>
          <w:sz w:val="22"/>
        </w:rPr>
        <w:t>，最</w:t>
      </w:r>
    </w:p>
    <w:p w14:paraId="3F7BBC92" w14:textId="01C51A46" w:rsidR="00E21EA1" w:rsidRPr="00F109E8" w:rsidRDefault="00367ED9">
      <w:pPr>
        <w:rPr>
          <w:rFonts w:ascii="BIZ UDPゴシック" w:eastAsia="BIZ UDPゴシック" w:hAnsi="BIZ UDPゴシック"/>
          <w:sz w:val="22"/>
        </w:rPr>
      </w:pPr>
      <w:r w:rsidRPr="00F109E8">
        <w:rPr>
          <w:rFonts w:ascii="BIZ UDPゴシック" w:eastAsia="BIZ UDPゴシック" w:hAnsi="BIZ UDPゴシック" w:hint="eastAsia"/>
          <w:sz w:val="22"/>
        </w:rPr>
        <w:t>大の構成要素である人的要素自</w:t>
      </w:r>
    </w:p>
    <w:p w14:paraId="08FE0CA7" w14:textId="018D980C" w:rsidR="00E21EA1" w:rsidRPr="00F109E8" w:rsidRDefault="00367ED9">
      <w:pPr>
        <w:rPr>
          <w:rFonts w:ascii="BIZ UDPゴシック" w:eastAsia="BIZ UDPゴシック" w:hAnsi="BIZ UDPゴシック"/>
          <w:sz w:val="22"/>
        </w:rPr>
      </w:pPr>
      <w:r w:rsidRPr="00F109E8">
        <w:rPr>
          <w:rFonts w:ascii="BIZ UDPゴシック" w:eastAsia="BIZ UDPゴシック" w:hAnsi="BIZ UDPゴシック" w:hint="eastAsia"/>
          <w:sz w:val="22"/>
        </w:rPr>
        <w:t>体が異動交代や役割替えで変わ</w:t>
      </w:r>
    </w:p>
    <w:p w14:paraId="15380D74" w14:textId="77777777" w:rsidR="00E21EA1" w:rsidRPr="00F109E8" w:rsidRDefault="00367ED9">
      <w:pPr>
        <w:rPr>
          <w:rFonts w:ascii="BIZ UDPゴシック" w:eastAsia="BIZ UDPゴシック" w:hAnsi="BIZ UDPゴシック"/>
          <w:sz w:val="22"/>
        </w:rPr>
      </w:pPr>
      <w:r w:rsidRPr="00F109E8">
        <w:rPr>
          <w:rFonts w:ascii="BIZ UDPゴシック" w:eastAsia="BIZ UDPゴシック" w:hAnsi="BIZ UDPゴシック" w:hint="eastAsia"/>
          <w:sz w:val="22"/>
        </w:rPr>
        <w:t>ることと意欲の継続の面で</w:t>
      </w:r>
      <w:r w:rsidR="00E86A61" w:rsidRPr="00F109E8">
        <w:rPr>
          <w:rFonts w:ascii="BIZ UDPゴシック" w:eastAsia="BIZ UDPゴシック" w:hAnsi="BIZ UDPゴシック" w:hint="eastAsia"/>
          <w:sz w:val="22"/>
        </w:rPr>
        <w:t>変質す</w:t>
      </w:r>
    </w:p>
    <w:p w14:paraId="2268EA1E" w14:textId="673A7954" w:rsidR="00E21EA1" w:rsidRPr="00F109E8" w:rsidRDefault="00E86A61">
      <w:pPr>
        <w:rPr>
          <w:rFonts w:ascii="BIZ UDPゴシック" w:eastAsia="BIZ UDPゴシック" w:hAnsi="BIZ UDPゴシック"/>
          <w:sz w:val="22"/>
        </w:rPr>
      </w:pPr>
      <w:r w:rsidRPr="00F109E8">
        <w:rPr>
          <w:rFonts w:ascii="BIZ UDPゴシック" w:eastAsia="BIZ UDPゴシック" w:hAnsi="BIZ UDPゴシック" w:hint="eastAsia"/>
          <w:sz w:val="22"/>
        </w:rPr>
        <w:t>ること，また，環境・状況自体が</w:t>
      </w:r>
    </w:p>
    <w:p w14:paraId="2DEA459C" w14:textId="77777777" w:rsidR="00E21EA1" w:rsidRPr="00F109E8" w:rsidRDefault="00E86A61">
      <w:pPr>
        <w:rPr>
          <w:rFonts w:ascii="BIZ UDPゴシック" w:eastAsia="BIZ UDPゴシック" w:hAnsi="BIZ UDPゴシック"/>
          <w:sz w:val="22"/>
        </w:rPr>
      </w:pPr>
      <w:r w:rsidRPr="00F109E8">
        <w:rPr>
          <w:rFonts w:ascii="BIZ UDPゴシック" w:eastAsia="BIZ UDPゴシック" w:hAnsi="BIZ UDPゴシック" w:hint="eastAsia"/>
          <w:sz w:val="22"/>
        </w:rPr>
        <w:t>変化することなどから，業務等の</w:t>
      </w:r>
    </w:p>
    <w:p w14:paraId="0F7D3ACE" w14:textId="77777777" w:rsidR="00E21EA1" w:rsidRPr="00F109E8" w:rsidRDefault="00E86A61">
      <w:pPr>
        <w:rPr>
          <w:rFonts w:ascii="BIZ UDPゴシック" w:eastAsia="BIZ UDPゴシック" w:hAnsi="BIZ UDPゴシック"/>
          <w:sz w:val="22"/>
        </w:rPr>
      </w:pPr>
      <w:r w:rsidRPr="00F109E8">
        <w:rPr>
          <w:rFonts w:ascii="BIZ UDPゴシック" w:eastAsia="BIZ UDPゴシック" w:hAnsi="BIZ UDPゴシック" w:hint="eastAsia"/>
          <w:sz w:val="22"/>
        </w:rPr>
        <w:t>水準の継承は，もともと困難性が</w:t>
      </w:r>
    </w:p>
    <w:p w14:paraId="5245AF1A" w14:textId="77777777" w:rsidR="00121739" w:rsidRPr="00F109E8" w:rsidRDefault="00E86A61">
      <w:pPr>
        <w:rPr>
          <w:rFonts w:ascii="BIZ UDPゴシック" w:eastAsia="BIZ UDPゴシック" w:hAnsi="BIZ UDPゴシック"/>
          <w:sz w:val="22"/>
        </w:rPr>
      </w:pPr>
      <w:r w:rsidRPr="00F109E8">
        <w:rPr>
          <w:rFonts w:ascii="BIZ UDPゴシック" w:eastAsia="BIZ UDPゴシック" w:hAnsi="BIZ UDPゴシック" w:hint="eastAsia"/>
          <w:sz w:val="22"/>
        </w:rPr>
        <w:t>高いと考えられます。</w:t>
      </w:r>
    </w:p>
    <w:p w14:paraId="565B501C" w14:textId="77777777" w:rsidR="00E86A61" w:rsidRDefault="00E86A61">
      <w:pPr>
        <w:rPr>
          <w:rFonts w:ascii="BIZ UDPゴシック" w:eastAsia="BIZ UDPゴシック" w:hAnsi="BIZ UDPゴシック"/>
          <w:sz w:val="22"/>
        </w:rPr>
      </w:pPr>
      <w:r w:rsidRPr="00F109E8">
        <w:rPr>
          <w:rFonts w:ascii="BIZ UDPゴシック" w:eastAsia="BIZ UDPゴシック" w:hAnsi="BIZ UDPゴシック" w:hint="eastAsia"/>
          <w:sz w:val="22"/>
        </w:rPr>
        <w:t xml:space="preserve">　根幹的には，学校の業務や教育活動の営みの積み重ねで成り立った水準自体を維持・継承しようとする考え方・捉え方自体が理に適っていないことが考えられます。高めることに関わってきて手応えを感じている「当事者性の高い人」には残念さが伴うことと思いますが，時間の推移とともに変化</w:t>
      </w:r>
      <w:r w:rsidR="001A7934" w:rsidRPr="00F109E8">
        <w:rPr>
          <w:rFonts w:ascii="BIZ UDPゴシック" w:eastAsia="BIZ UDPゴシック" w:hAnsi="BIZ UDPゴシック" w:hint="eastAsia"/>
          <w:sz w:val="22"/>
        </w:rPr>
        <w:t>・変質</w:t>
      </w:r>
      <w:r w:rsidRPr="00F109E8">
        <w:rPr>
          <w:rFonts w:ascii="BIZ UDPゴシック" w:eastAsia="BIZ UDPゴシック" w:hAnsi="BIZ UDPゴシック" w:hint="eastAsia"/>
          <w:sz w:val="22"/>
        </w:rPr>
        <w:t>していく</w:t>
      </w:r>
      <w:r w:rsidR="001A7934" w:rsidRPr="00F109E8">
        <w:rPr>
          <w:rFonts w:ascii="BIZ UDPゴシック" w:eastAsia="BIZ UDPゴシック" w:hAnsi="BIZ UDPゴシック" w:hint="eastAsia"/>
          <w:sz w:val="22"/>
        </w:rPr>
        <w:t>のが当たり前だと言えます。</w:t>
      </w:r>
    </w:p>
    <w:p w14:paraId="2C1505FF" w14:textId="77777777" w:rsidR="00F109E8" w:rsidRDefault="00F109E8">
      <w:pPr>
        <w:rPr>
          <w:rFonts w:ascii="BIZ UDPゴシック" w:eastAsia="BIZ UDPゴシック" w:hAnsi="BIZ UDPゴシック"/>
          <w:sz w:val="22"/>
        </w:rPr>
      </w:pPr>
    </w:p>
    <w:p w14:paraId="581E5B39" w14:textId="77777777" w:rsidR="00F109E8" w:rsidRDefault="00F109E8">
      <w:pPr>
        <w:rPr>
          <w:rFonts w:ascii="BIZ UDPゴシック" w:eastAsia="BIZ UDPゴシック" w:hAnsi="BIZ UDPゴシック"/>
          <w:sz w:val="22"/>
        </w:rPr>
      </w:pPr>
    </w:p>
    <w:p w14:paraId="1CE8F1DA" w14:textId="77777777" w:rsidR="00F109E8" w:rsidRDefault="00F109E8">
      <w:pPr>
        <w:rPr>
          <w:rFonts w:ascii="BIZ UDPゴシック" w:eastAsia="BIZ UDPゴシック" w:hAnsi="BIZ UDPゴシック"/>
          <w:sz w:val="22"/>
        </w:rPr>
      </w:pPr>
    </w:p>
    <w:p w14:paraId="35CEEFF9" w14:textId="77777777" w:rsidR="00F109E8" w:rsidRDefault="00F109E8">
      <w:pPr>
        <w:rPr>
          <w:rFonts w:ascii="BIZ UDPゴシック" w:eastAsia="BIZ UDPゴシック" w:hAnsi="BIZ UDPゴシック"/>
          <w:sz w:val="22"/>
        </w:rPr>
      </w:pPr>
    </w:p>
    <w:p w14:paraId="42412366" w14:textId="77777777" w:rsidR="00F109E8" w:rsidRDefault="00F109E8">
      <w:pPr>
        <w:rPr>
          <w:rFonts w:ascii="BIZ UDPゴシック" w:eastAsia="BIZ UDPゴシック" w:hAnsi="BIZ UDPゴシック"/>
          <w:sz w:val="22"/>
        </w:rPr>
      </w:pPr>
    </w:p>
    <w:p w14:paraId="5963A3E4" w14:textId="77777777" w:rsidR="00F109E8" w:rsidRDefault="00F109E8">
      <w:pPr>
        <w:rPr>
          <w:rFonts w:ascii="BIZ UDPゴシック" w:eastAsia="BIZ UDPゴシック" w:hAnsi="BIZ UDPゴシック"/>
          <w:sz w:val="22"/>
        </w:rPr>
      </w:pPr>
    </w:p>
    <w:p w14:paraId="51454237" w14:textId="77777777" w:rsidR="00F109E8" w:rsidRPr="00F109E8" w:rsidRDefault="00F109E8">
      <w:pPr>
        <w:rPr>
          <w:rFonts w:ascii="BIZ UDPゴシック" w:eastAsia="BIZ UDPゴシック" w:hAnsi="BIZ UDPゴシック" w:hint="eastAsia"/>
          <w:sz w:val="22"/>
        </w:rPr>
      </w:pPr>
    </w:p>
    <w:p w14:paraId="081D2FF2" w14:textId="77777777" w:rsidR="001A7934" w:rsidRPr="00F109E8" w:rsidRDefault="001A7934">
      <w:pPr>
        <w:rPr>
          <w:rFonts w:ascii="BIZ UDPゴシック" w:eastAsia="BIZ UDPゴシック" w:hAnsi="BIZ UDPゴシック"/>
          <w:sz w:val="22"/>
        </w:rPr>
      </w:pPr>
    </w:p>
    <w:p w14:paraId="62C50E5C" w14:textId="77777777" w:rsidR="001A7934" w:rsidRPr="00F109E8" w:rsidRDefault="001A7934">
      <w:pPr>
        <w:rPr>
          <w:rFonts w:ascii="BIZ UDPゴシック" w:eastAsia="BIZ UDPゴシック" w:hAnsi="BIZ UDPゴシック"/>
          <w:color w:val="C00000"/>
          <w:sz w:val="22"/>
        </w:rPr>
      </w:pPr>
      <w:r w:rsidRPr="00F109E8">
        <w:rPr>
          <w:rFonts w:ascii="BIZ UDPゴシック" w:eastAsia="BIZ UDPゴシック" w:hAnsi="BIZ UDPゴシック" w:hint="eastAsia"/>
          <w:color w:val="C00000"/>
          <w:sz w:val="22"/>
        </w:rPr>
        <w:t>【では，どうするか？】</w:t>
      </w:r>
    </w:p>
    <w:p w14:paraId="3CC4C925" w14:textId="77777777" w:rsidR="00121739" w:rsidRPr="00F109E8" w:rsidRDefault="0059728F">
      <w:pPr>
        <w:rPr>
          <w:rFonts w:ascii="BIZ UDPゴシック" w:eastAsia="BIZ UDPゴシック" w:hAnsi="BIZ UDPゴシック"/>
          <w:sz w:val="22"/>
        </w:rPr>
      </w:pPr>
      <w:r w:rsidRPr="00F109E8">
        <w:rPr>
          <w:rFonts w:ascii="BIZ UDPゴシック" w:eastAsia="BIZ UDPゴシック" w:hAnsi="BIZ UDPゴシック" w:hint="eastAsia"/>
          <w:sz w:val="22"/>
        </w:rPr>
        <w:t xml:space="preserve">　一定程度に高まっている教育活動や業務の水準を維持・向上させることの難しさを前提に</w:t>
      </w:r>
      <w:r w:rsidR="008B6E14" w:rsidRPr="00F109E8">
        <w:rPr>
          <w:rFonts w:ascii="BIZ UDPゴシック" w:eastAsia="BIZ UDPゴシック" w:hAnsi="BIZ UDPゴシック" w:hint="eastAsia"/>
          <w:sz w:val="22"/>
        </w:rPr>
        <w:t>しつつ，</w:t>
      </w:r>
      <w:r w:rsidR="00C25BDA" w:rsidRPr="00F109E8">
        <w:rPr>
          <w:rFonts w:ascii="BIZ UDPゴシック" w:eastAsia="BIZ UDPゴシック" w:hAnsi="BIZ UDPゴシック" w:hint="eastAsia"/>
          <w:sz w:val="22"/>
        </w:rPr>
        <w:t>実際的な対応方策を構成要素ごとに考えてみました。</w:t>
      </w:r>
    </w:p>
    <w:p w14:paraId="792A7510" w14:textId="77777777" w:rsidR="000C0FD8" w:rsidRDefault="00C25BDA">
      <w:pPr>
        <w:rPr>
          <w:rFonts w:ascii="BIZ UDPゴシック" w:eastAsia="BIZ UDPゴシック" w:hAnsi="BIZ UDPゴシック"/>
          <w:color w:val="663300"/>
          <w:sz w:val="22"/>
        </w:rPr>
      </w:pPr>
      <w:r w:rsidRPr="000C0FD8">
        <w:rPr>
          <w:rFonts w:ascii="BIZ UDPゴシック" w:eastAsia="BIZ UDPゴシック" w:hAnsi="BIZ UDPゴシック" w:hint="eastAsia"/>
          <w:color w:val="663300"/>
          <w:sz w:val="22"/>
        </w:rPr>
        <w:t xml:space="preserve">　◎　業務の目的・意義</w:t>
      </w:r>
    </w:p>
    <w:p w14:paraId="228758BF" w14:textId="3F455188" w:rsidR="000C0FD8" w:rsidRDefault="000C0FD8" w:rsidP="000C0FD8">
      <w:pPr>
        <w:ind w:firstLineChars="200" w:firstLine="500"/>
        <w:rPr>
          <w:rFonts w:ascii="BIZ UDPゴシック" w:eastAsia="BIZ UDPゴシック" w:hAnsi="BIZ UDPゴシック"/>
          <w:sz w:val="22"/>
        </w:rPr>
      </w:pPr>
      <w:r>
        <w:rPr>
          <w:rFonts w:ascii="BIZ UDPゴシック" w:eastAsia="BIZ UDPゴシック" w:hAnsi="BIZ UDPゴシック" w:hint="eastAsia"/>
          <w:sz w:val="22"/>
        </w:rPr>
        <w:t>＊</w:t>
      </w:r>
      <w:r w:rsidR="00C25BDA" w:rsidRPr="00F109E8">
        <w:rPr>
          <w:rFonts w:ascii="BIZ UDPゴシック" w:eastAsia="BIZ UDPゴシック" w:hAnsi="BIZ UDPゴシック" w:hint="eastAsia"/>
          <w:sz w:val="22"/>
        </w:rPr>
        <w:t>業務や教育活動の目的や意義について，その都度，確認できたり変化対応の要素を取り入</w:t>
      </w:r>
    </w:p>
    <w:p w14:paraId="018043BB" w14:textId="6155AD7D" w:rsidR="000C0FD8" w:rsidRDefault="00C25BDA" w:rsidP="000C0FD8">
      <w:pPr>
        <w:ind w:firstLineChars="300" w:firstLine="750"/>
        <w:rPr>
          <w:rFonts w:ascii="BIZ UDPゴシック" w:eastAsia="BIZ UDPゴシック" w:hAnsi="BIZ UDPゴシック"/>
          <w:sz w:val="22"/>
        </w:rPr>
      </w:pPr>
      <w:r w:rsidRPr="00F109E8">
        <w:rPr>
          <w:rFonts w:ascii="BIZ UDPゴシック" w:eastAsia="BIZ UDPゴシック" w:hAnsi="BIZ UDPゴシック" w:hint="eastAsia"/>
          <w:sz w:val="22"/>
        </w:rPr>
        <w:t xml:space="preserve">れたりすることができる文字化（「見える化」）の仕組みにする。　</w:t>
      </w:r>
    </w:p>
    <w:p w14:paraId="235D2A4D" w14:textId="4CE4D305" w:rsidR="00C25BDA" w:rsidRPr="00F109E8" w:rsidRDefault="00C25BDA" w:rsidP="000C0FD8">
      <w:pPr>
        <w:ind w:firstLineChars="300" w:firstLine="750"/>
        <w:rPr>
          <w:rFonts w:ascii="BIZ UDPゴシック" w:eastAsia="BIZ UDPゴシック" w:hAnsi="BIZ UDPゴシック"/>
          <w:sz w:val="22"/>
        </w:rPr>
      </w:pPr>
      <w:r w:rsidRPr="00F109E8">
        <w:rPr>
          <w:rFonts w:ascii="BIZ UDPゴシック" w:eastAsia="BIZ UDPゴシック" w:hAnsi="BIZ UDPゴシック" w:hint="eastAsia"/>
          <w:sz w:val="22"/>
        </w:rPr>
        <w:t>⇒　起案文書・周知文書などに明文化する。</w:t>
      </w:r>
    </w:p>
    <w:p w14:paraId="61E24E4C" w14:textId="77777777" w:rsidR="000C0FD8" w:rsidRDefault="00C25BDA" w:rsidP="004B4C89">
      <w:pPr>
        <w:ind w:left="1000" w:hangingChars="400" w:hanging="1000"/>
        <w:rPr>
          <w:rFonts w:ascii="BIZ UDPゴシック" w:eastAsia="BIZ UDPゴシック" w:hAnsi="BIZ UDPゴシック"/>
          <w:color w:val="663300"/>
          <w:sz w:val="22"/>
        </w:rPr>
      </w:pPr>
      <w:r w:rsidRPr="000C0FD8">
        <w:rPr>
          <w:rFonts w:ascii="BIZ UDPゴシック" w:eastAsia="BIZ UDPゴシック" w:hAnsi="BIZ UDPゴシック" w:hint="eastAsia"/>
          <w:color w:val="663300"/>
          <w:sz w:val="22"/>
        </w:rPr>
        <w:t xml:space="preserve">　◎　業務に関する仕組・制度</w:t>
      </w:r>
    </w:p>
    <w:p w14:paraId="1F8716B5" w14:textId="6D4EE6F5" w:rsidR="000C0FD8" w:rsidRDefault="000C0FD8" w:rsidP="000C0FD8">
      <w:pPr>
        <w:ind w:firstLineChars="200" w:firstLine="500"/>
        <w:rPr>
          <w:rFonts w:ascii="BIZ UDPゴシック" w:eastAsia="BIZ UDPゴシック" w:hAnsi="BIZ UDPゴシック"/>
          <w:sz w:val="22"/>
        </w:rPr>
      </w:pPr>
      <w:r>
        <w:rPr>
          <w:rFonts w:ascii="BIZ UDPゴシック" w:eastAsia="BIZ UDPゴシック" w:hAnsi="BIZ UDPゴシック" w:hint="eastAsia"/>
          <w:sz w:val="22"/>
        </w:rPr>
        <w:t>＊</w:t>
      </w:r>
      <w:r w:rsidR="004B4C89" w:rsidRPr="00F109E8">
        <w:rPr>
          <w:rFonts w:ascii="BIZ UDPゴシック" w:eastAsia="BIZ UDPゴシック" w:hAnsi="BIZ UDPゴシック" w:hint="eastAsia"/>
          <w:sz w:val="22"/>
        </w:rPr>
        <w:t>教育活動や業務の区切りに組織的に振り返り・検証を行う仕組（</w:t>
      </w:r>
      <w:r w:rsidR="00105889" w:rsidRPr="00F109E8">
        <w:rPr>
          <w:rFonts w:ascii="BIZ UDPゴシック" w:eastAsia="BIZ UDPゴシック" w:hAnsi="BIZ UDPゴシック" w:hint="eastAsia"/>
          <w:sz w:val="22"/>
        </w:rPr>
        <w:t>検証自体を</w:t>
      </w:r>
      <w:r w:rsidR="004B4C89" w:rsidRPr="00F109E8">
        <w:rPr>
          <w:rFonts w:ascii="BIZ UDPゴシック" w:eastAsia="BIZ UDPゴシック" w:hAnsi="BIZ UDPゴシック" w:hint="eastAsia"/>
          <w:sz w:val="22"/>
        </w:rPr>
        <w:t>業務</w:t>
      </w:r>
      <w:r w:rsidR="00105889" w:rsidRPr="00F109E8">
        <w:rPr>
          <w:rFonts w:ascii="BIZ UDPゴシック" w:eastAsia="BIZ UDPゴシック" w:hAnsi="BIZ UDPゴシック" w:hint="eastAsia"/>
          <w:sz w:val="22"/>
        </w:rPr>
        <w:t>とする</w:t>
      </w:r>
      <w:r w:rsidR="004B4C89" w:rsidRPr="00F109E8">
        <w:rPr>
          <w:rFonts w:ascii="BIZ UDPゴシック" w:eastAsia="BIZ UDPゴシック" w:hAnsi="BIZ UDPゴシック" w:hint="eastAsia"/>
          <w:sz w:val="22"/>
        </w:rPr>
        <w:t>習</w:t>
      </w:r>
    </w:p>
    <w:p w14:paraId="0C82D4AE" w14:textId="01ABB432" w:rsidR="000C0FD8" w:rsidRDefault="004B4C89" w:rsidP="000C0FD8">
      <w:pPr>
        <w:ind w:firstLineChars="300" w:firstLine="750"/>
        <w:rPr>
          <w:rFonts w:ascii="BIZ UDPゴシック" w:eastAsia="BIZ UDPゴシック" w:hAnsi="BIZ UDPゴシック"/>
          <w:sz w:val="22"/>
        </w:rPr>
      </w:pPr>
      <w:r w:rsidRPr="00F109E8">
        <w:rPr>
          <w:rFonts w:ascii="BIZ UDPゴシック" w:eastAsia="BIZ UDPゴシック" w:hAnsi="BIZ UDPゴシック" w:hint="eastAsia"/>
          <w:sz w:val="22"/>
        </w:rPr>
        <w:t>慣）を設けるなど，変化対応・改善が機能する組織マネジメントの定着を図る。</w:t>
      </w:r>
    </w:p>
    <w:p w14:paraId="3DEB871C" w14:textId="77777777" w:rsidR="000C0FD8" w:rsidRDefault="004B4C89" w:rsidP="000C0FD8">
      <w:pPr>
        <w:ind w:firstLineChars="300" w:firstLine="750"/>
        <w:rPr>
          <w:rFonts w:ascii="BIZ UDPゴシック" w:eastAsia="BIZ UDPゴシック" w:hAnsi="BIZ UDPゴシック"/>
          <w:sz w:val="22"/>
        </w:rPr>
      </w:pPr>
      <w:r w:rsidRPr="00F109E8">
        <w:rPr>
          <w:rFonts w:ascii="BIZ UDPゴシック" w:eastAsia="BIZ UDPゴシック" w:hAnsi="BIZ UDPゴシック" w:hint="eastAsia"/>
          <w:sz w:val="22"/>
        </w:rPr>
        <w:t xml:space="preserve">⇒　</w:t>
      </w:r>
      <w:r w:rsidR="00622315" w:rsidRPr="00F109E8">
        <w:rPr>
          <w:rFonts w:ascii="BIZ UDPゴシック" w:eastAsia="BIZ UDPゴシック" w:hAnsi="BIZ UDPゴシック" w:hint="eastAsia"/>
          <w:sz w:val="22"/>
        </w:rPr>
        <w:t>単独の業務</w:t>
      </w:r>
      <w:r w:rsidR="00105889" w:rsidRPr="00F109E8">
        <w:rPr>
          <w:rFonts w:ascii="BIZ UDPゴシック" w:eastAsia="BIZ UDPゴシック" w:hAnsi="BIZ UDPゴシック" w:hint="eastAsia"/>
          <w:sz w:val="22"/>
        </w:rPr>
        <w:t>一つだけをその都度行うのではなく，</w:t>
      </w:r>
      <w:r w:rsidRPr="00F109E8">
        <w:rPr>
          <w:rFonts w:ascii="BIZ UDPゴシック" w:eastAsia="BIZ UDPゴシック" w:hAnsi="BIZ UDPゴシック" w:hint="eastAsia"/>
          <w:sz w:val="22"/>
        </w:rPr>
        <w:t>他の</w:t>
      </w:r>
      <w:r w:rsidR="00622315" w:rsidRPr="00F109E8">
        <w:rPr>
          <w:rFonts w:ascii="BIZ UDPゴシック" w:eastAsia="BIZ UDPゴシック" w:hAnsi="BIZ UDPゴシック" w:hint="eastAsia"/>
          <w:sz w:val="22"/>
        </w:rPr>
        <w:t>活動や業務の</w:t>
      </w:r>
      <w:r w:rsidRPr="00F109E8">
        <w:rPr>
          <w:rFonts w:ascii="BIZ UDPゴシック" w:eastAsia="BIZ UDPゴシック" w:hAnsi="BIZ UDPゴシック" w:hint="eastAsia"/>
          <w:sz w:val="22"/>
        </w:rPr>
        <w:t>振り返り・検証と一</w:t>
      </w:r>
    </w:p>
    <w:p w14:paraId="482C9CE5" w14:textId="4FE5CCB8" w:rsidR="004B4C89" w:rsidRPr="00F109E8" w:rsidRDefault="004B4C89" w:rsidP="000C0FD8">
      <w:pPr>
        <w:ind w:firstLineChars="400" w:firstLine="1000"/>
        <w:rPr>
          <w:rFonts w:ascii="BIZ UDPゴシック" w:eastAsia="BIZ UDPゴシック" w:hAnsi="BIZ UDPゴシック"/>
          <w:sz w:val="22"/>
        </w:rPr>
      </w:pPr>
      <w:r w:rsidRPr="00F109E8">
        <w:rPr>
          <w:rFonts w:ascii="BIZ UDPゴシック" w:eastAsia="BIZ UDPゴシック" w:hAnsi="BIZ UDPゴシック" w:hint="eastAsia"/>
          <w:sz w:val="22"/>
        </w:rPr>
        <w:t>体的に進めるの</w:t>
      </w:r>
      <w:r w:rsidR="00622315" w:rsidRPr="00F109E8">
        <w:rPr>
          <w:rFonts w:ascii="BIZ UDPゴシック" w:eastAsia="BIZ UDPゴシック" w:hAnsi="BIZ UDPゴシック" w:hint="eastAsia"/>
          <w:sz w:val="22"/>
        </w:rPr>
        <w:t>が有効</w:t>
      </w:r>
      <w:r w:rsidRPr="00F109E8">
        <w:rPr>
          <w:rFonts w:ascii="BIZ UDPゴシック" w:eastAsia="BIZ UDPゴシック" w:hAnsi="BIZ UDPゴシック" w:hint="eastAsia"/>
          <w:sz w:val="22"/>
        </w:rPr>
        <w:t>。</w:t>
      </w:r>
    </w:p>
    <w:p w14:paraId="31766193" w14:textId="77777777" w:rsidR="000C0FD8" w:rsidRDefault="00C25BDA">
      <w:pPr>
        <w:rPr>
          <w:rFonts w:ascii="BIZ UDPゴシック" w:eastAsia="BIZ UDPゴシック" w:hAnsi="BIZ UDPゴシック"/>
          <w:color w:val="663300"/>
          <w:sz w:val="22"/>
        </w:rPr>
      </w:pPr>
      <w:r w:rsidRPr="000C0FD8">
        <w:rPr>
          <w:rFonts w:ascii="BIZ UDPゴシック" w:eastAsia="BIZ UDPゴシック" w:hAnsi="BIZ UDPゴシック" w:hint="eastAsia"/>
          <w:color w:val="663300"/>
          <w:sz w:val="22"/>
        </w:rPr>
        <w:t xml:space="preserve">　◎　スタッフの意欲・労力</w:t>
      </w:r>
    </w:p>
    <w:p w14:paraId="728BDD9F" w14:textId="2858EF0A" w:rsidR="00C25BDA" w:rsidRPr="00F109E8" w:rsidRDefault="000C0FD8" w:rsidP="000C0FD8">
      <w:pPr>
        <w:ind w:firstLineChars="200" w:firstLine="500"/>
        <w:rPr>
          <w:rFonts w:ascii="BIZ UDPゴシック" w:eastAsia="BIZ UDPゴシック" w:hAnsi="BIZ UDPゴシック"/>
          <w:sz w:val="22"/>
        </w:rPr>
      </w:pPr>
      <w:r>
        <w:rPr>
          <w:rFonts w:ascii="BIZ UDPゴシック" w:eastAsia="BIZ UDPゴシック" w:hAnsi="BIZ UDPゴシック" w:hint="eastAsia"/>
          <w:sz w:val="22"/>
        </w:rPr>
        <w:t>＊</w:t>
      </w:r>
      <w:r w:rsidR="003C25F4" w:rsidRPr="00F109E8">
        <w:rPr>
          <w:rFonts w:ascii="BIZ UDPゴシック" w:eastAsia="BIZ UDPゴシック" w:hAnsi="BIZ UDPゴシック" w:hint="eastAsia"/>
          <w:sz w:val="22"/>
        </w:rPr>
        <w:t>校内の人材配置の工夫と引継ぎの在り方の改善（担当が代わるのが当たり前</w:t>
      </w:r>
      <w:r w:rsidR="00105889" w:rsidRPr="00F109E8">
        <w:rPr>
          <w:rFonts w:ascii="BIZ UDPゴシック" w:eastAsia="BIZ UDPゴシック" w:hAnsi="BIZ UDPゴシック" w:hint="eastAsia"/>
          <w:sz w:val="22"/>
        </w:rPr>
        <w:t>にする</w:t>
      </w:r>
      <w:r w:rsidR="003C25F4" w:rsidRPr="00F109E8">
        <w:rPr>
          <w:rFonts w:ascii="BIZ UDPゴシック" w:eastAsia="BIZ UDPゴシック" w:hAnsi="BIZ UDPゴシック" w:hint="eastAsia"/>
          <w:sz w:val="22"/>
        </w:rPr>
        <w:t>）。</w:t>
      </w:r>
    </w:p>
    <w:p w14:paraId="348A9565" w14:textId="77777777" w:rsidR="000C0FD8" w:rsidRDefault="00C25BDA">
      <w:pPr>
        <w:rPr>
          <w:rFonts w:ascii="BIZ UDPゴシック" w:eastAsia="BIZ UDPゴシック" w:hAnsi="BIZ UDPゴシック"/>
          <w:color w:val="663300"/>
          <w:sz w:val="22"/>
        </w:rPr>
      </w:pPr>
      <w:r w:rsidRPr="000C0FD8">
        <w:rPr>
          <w:rFonts w:ascii="BIZ UDPゴシック" w:eastAsia="BIZ UDPゴシック" w:hAnsi="BIZ UDPゴシック" w:hint="eastAsia"/>
          <w:color w:val="663300"/>
          <w:sz w:val="22"/>
        </w:rPr>
        <w:t xml:space="preserve">　◎　生徒の意欲・労力</w:t>
      </w:r>
    </w:p>
    <w:p w14:paraId="42631FF1" w14:textId="77777777" w:rsidR="000C0FD8" w:rsidRDefault="000C0FD8" w:rsidP="000C0FD8">
      <w:pPr>
        <w:ind w:firstLineChars="200" w:firstLine="500"/>
        <w:rPr>
          <w:rFonts w:ascii="BIZ UDPゴシック" w:eastAsia="BIZ UDPゴシック" w:hAnsi="BIZ UDPゴシック"/>
          <w:sz w:val="22"/>
        </w:rPr>
      </w:pPr>
      <w:r>
        <w:rPr>
          <w:rFonts w:ascii="BIZ UDPゴシック" w:eastAsia="BIZ UDPゴシック" w:hAnsi="BIZ UDPゴシック" w:hint="eastAsia"/>
          <w:sz w:val="22"/>
        </w:rPr>
        <w:t>＊</w:t>
      </w:r>
      <w:r w:rsidR="003C25F4" w:rsidRPr="00F109E8">
        <w:rPr>
          <w:rFonts w:ascii="BIZ UDPゴシック" w:eastAsia="BIZ UDPゴシック" w:hAnsi="BIZ UDPゴシック" w:hint="eastAsia"/>
          <w:sz w:val="22"/>
        </w:rPr>
        <w:t>教育活動・行事等の意義・目的を，その都度，</w:t>
      </w:r>
      <w:r w:rsidR="00105889" w:rsidRPr="00F109E8">
        <w:rPr>
          <w:rFonts w:ascii="BIZ UDPゴシック" w:eastAsia="BIZ UDPゴシック" w:hAnsi="BIZ UDPゴシック" w:hint="eastAsia"/>
          <w:sz w:val="22"/>
        </w:rPr>
        <w:t>丁寧に</w:t>
      </w:r>
      <w:r w:rsidR="003C25F4" w:rsidRPr="00F109E8">
        <w:rPr>
          <w:rFonts w:ascii="BIZ UDPゴシック" w:eastAsia="BIZ UDPゴシック" w:hAnsi="BIZ UDPゴシック" w:hint="eastAsia"/>
          <w:sz w:val="22"/>
        </w:rPr>
        <w:t>周知徹底を図るとともに，内容</w:t>
      </w:r>
      <w:r w:rsidR="00622315" w:rsidRPr="00F109E8">
        <w:rPr>
          <w:rFonts w:ascii="BIZ UDPゴシック" w:eastAsia="BIZ UDPゴシック" w:hAnsi="BIZ UDPゴシック" w:hint="eastAsia"/>
          <w:sz w:val="22"/>
        </w:rPr>
        <w:t>に</w:t>
      </w:r>
      <w:r w:rsidR="00105889" w:rsidRPr="00F109E8">
        <w:rPr>
          <w:rFonts w:ascii="BIZ UDPゴシック" w:eastAsia="BIZ UDPゴシック" w:hAnsi="BIZ UDPゴシック" w:hint="eastAsia"/>
          <w:sz w:val="22"/>
        </w:rPr>
        <w:t>応じ</w:t>
      </w:r>
    </w:p>
    <w:p w14:paraId="028DB0B0" w14:textId="24112FCA" w:rsidR="00C25BDA" w:rsidRPr="00F109E8" w:rsidRDefault="00105889" w:rsidP="000C0FD8">
      <w:pPr>
        <w:ind w:firstLineChars="300" w:firstLine="750"/>
        <w:rPr>
          <w:rFonts w:ascii="BIZ UDPゴシック" w:eastAsia="BIZ UDPゴシック" w:hAnsi="BIZ UDPゴシック"/>
          <w:sz w:val="22"/>
        </w:rPr>
      </w:pPr>
      <w:r w:rsidRPr="00F109E8">
        <w:rPr>
          <w:rFonts w:ascii="BIZ UDPゴシック" w:eastAsia="BIZ UDPゴシック" w:hAnsi="BIZ UDPゴシック" w:hint="eastAsia"/>
          <w:sz w:val="22"/>
        </w:rPr>
        <w:t>て</w:t>
      </w:r>
      <w:r w:rsidR="003C25F4" w:rsidRPr="00F109E8">
        <w:rPr>
          <w:rFonts w:ascii="BIZ UDPゴシック" w:eastAsia="BIZ UDPゴシック" w:hAnsi="BIZ UDPゴシック" w:hint="eastAsia"/>
          <w:sz w:val="22"/>
        </w:rPr>
        <w:t>は，生徒に大事な役割を任せる。</w:t>
      </w:r>
    </w:p>
    <w:p w14:paraId="10C0006B" w14:textId="77777777" w:rsidR="00105889" w:rsidRDefault="00105889" w:rsidP="003C25F4">
      <w:pPr>
        <w:ind w:firstLineChars="400" w:firstLine="960"/>
        <w:rPr>
          <w:rFonts w:ascii="Meiryo UI" w:eastAsia="Meiryo UI" w:hAnsi="Meiryo UI"/>
        </w:rPr>
      </w:pPr>
    </w:p>
    <w:p w14:paraId="3579A704" w14:textId="77777777" w:rsidR="000C0FD8" w:rsidRDefault="000C0FD8" w:rsidP="003C25F4">
      <w:pPr>
        <w:ind w:firstLineChars="400" w:firstLine="960"/>
        <w:rPr>
          <w:rFonts w:ascii="Meiryo UI" w:eastAsia="Meiryo UI" w:hAnsi="Meiryo UI"/>
        </w:rPr>
      </w:pPr>
    </w:p>
    <w:p w14:paraId="50E23730" w14:textId="77777777" w:rsidR="000C0FD8" w:rsidRDefault="000C0FD8" w:rsidP="003C25F4">
      <w:pPr>
        <w:ind w:firstLineChars="400" w:firstLine="960"/>
        <w:rPr>
          <w:rFonts w:ascii="Meiryo UI" w:eastAsia="Meiryo UI" w:hAnsi="Meiryo UI"/>
        </w:rPr>
      </w:pPr>
    </w:p>
    <w:p w14:paraId="7AD76554" w14:textId="77777777" w:rsidR="000C0FD8" w:rsidRDefault="000C0FD8" w:rsidP="003C25F4">
      <w:pPr>
        <w:ind w:firstLineChars="400" w:firstLine="960"/>
        <w:rPr>
          <w:rFonts w:ascii="Meiryo UI" w:eastAsia="Meiryo UI" w:hAnsi="Meiryo UI" w:hint="eastAsia"/>
        </w:rPr>
      </w:pPr>
    </w:p>
    <w:p w14:paraId="30DCD05B" w14:textId="77777777" w:rsidR="00105889" w:rsidRDefault="00105889" w:rsidP="003C25F4">
      <w:pPr>
        <w:ind w:firstLineChars="400" w:firstLine="960"/>
        <w:rPr>
          <w:rFonts w:ascii="Meiryo UI" w:eastAsia="Meiryo UI" w:hAnsi="Meiryo UI"/>
        </w:rPr>
      </w:pPr>
    </w:p>
    <w:p w14:paraId="2232087B" w14:textId="77777777" w:rsidR="00121739" w:rsidRPr="00622315" w:rsidRDefault="00121739">
      <w:pPr>
        <w:rPr>
          <w:rFonts w:ascii="Meiryo UI" w:eastAsia="Meiryo UI" w:hAnsi="Meiryo UI"/>
        </w:rPr>
      </w:pPr>
    </w:p>
    <w:p w14:paraId="747C0CDB" w14:textId="77777777" w:rsidR="003C25F4" w:rsidRDefault="003C25F4">
      <w:pPr>
        <w:rPr>
          <w:rFonts w:ascii="Meiryo UI" w:eastAsia="Meiryo UI" w:hAnsi="Meiryo UI"/>
        </w:rPr>
      </w:pPr>
    </w:p>
    <w:p w14:paraId="560613E9" w14:textId="77777777" w:rsidR="003C25F4" w:rsidRDefault="003C25F4">
      <w:pPr>
        <w:rPr>
          <w:rFonts w:ascii="Meiryo UI" w:eastAsia="Meiryo UI" w:hAnsi="Meiryo UI"/>
        </w:rPr>
      </w:pPr>
    </w:p>
    <w:sectPr w:rsidR="003C25F4" w:rsidSect="00826676">
      <w:pgSz w:w="11906" w:h="16838" w:code="9"/>
      <w:pgMar w:top="794" w:right="794" w:bottom="794" w:left="794" w:header="851" w:footer="992" w:gutter="0"/>
      <w:cols w:space="425"/>
      <w:docGrid w:type="linesAndChars" w:linePitch="423" w:charSpace="6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F4"/>
    <w:rsid w:val="000C0FD8"/>
    <w:rsid w:val="000E2126"/>
    <w:rsid w:val="00105889"/>
    <w:rsid w:val="001201FF"/>
    <w:rsid w:val="00121739"/>
    <w:rsid w:val="001A7934"/>
    <w:rsid w:val="001E1BF5"/>
    <w:rsid w:val="0020438D"/>
    <w:rsid w:val="00367ED9"/>
    <w:rsid w:val="003C25F4"/>
    <w:rsid w:val="00425A7D"/>
    <w:rsid w:val="004B4C89"/>
    <w:rsid w:val="004C5BB1"/>
    <w:rsid w:val="00581AFC"/>
    <w:rsid w:val="0059728F"/>
    <w:rsid w:val="005C2F08"/>
    <w:rsid w:val="00622315"/>
    <w:rsid w:val="006F6DD7"/>
    <w:rsid w:val="00826676"/>
    <w:rsid w:val="008B6E14"/>
    <w:rsid w:val="008E54A1"/>
    <w:rsid w:val="00983690"/>
    <w:rsid w:val="00A1572B"/>
    <w:rsid w:val="00AF1AF9"/>
    <w:rsid w:val="00B901EC"/>
    <w:rsid w:val="00BC5680"/>
    <w:rsid w:val="00C25BDA"/>
    <w:rsid w:val="00C97D7E"/>
    <w:rsid w:val="00CC00F5"/>
    <w:rsid w:val="00CE1C23"/>
    <w:rsid w:val="00D76CFC"/>
    <w:rsid w:val="00D82E31"/>
    <w:rsid w:val="00E21EA1"/>
    <w:rsid w:val="00E767A2"/>
    <w:rsid w:val="00E86A61"/>
    <w:rsid w:val="00EF28AE"/>
    <w:rsid w:val="00F109E8"/>
    <w:rsid w:val="00F36F22"/>
    <w:rsid w:val="00F4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60D5C"/>
  <w15:chartTrackingRefBased/>
  <w15:docId w15:val="{B43635B1-36CA-4938-8AB5-A7BD7C20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2</cp:revision>
  <dcterms:created xsi:type="dcterms:W3CDTF">2024-01-25T01:09:00Z</dcterms:created>
  <dcterms:modified xsi:type="dcterms:W3CDTF">2024-01-25T01:09:00Z</dcterms:modified>
</cp:coreProperties>
</file>